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187F6F">
      <w:pPr>
        <w:spacing w:line="285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11315700</wp:posOffset>
            </wp:positionH>
            <wp:positionV relativeFrom="topMargin">
              <wp:posOffset>11823700</wp:posOffset>
            </wp:positionV>
            <wp:extent cx="330200" cy="279400"/>
            <wp:effectExtent l="0" t="0" r="12700" b="635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年普通高中学业水平选择性考试（江苏卷）</w:t>
      </w:r>
    </w:p>
    <w:p w14:paraId="208B2F6A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</w:p>
    <w:p w14:paraId="309A1A5B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本试卷满分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75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5B1D980F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23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46</w:t>
      </w:r>
      <w:r>
        <w:rPr>
          <w:rFonts w:ascii="宋体" w:hAnsi="宋体" w:eastAsia="宋体" w:cs="宋体"/>
          <w:b/>
          <w:color w:val="auto"/>
          <w:sz w:val="24"/>
        </w:rPr>
        <w:t>分。每题只有一个选项最符合题意。</w:t>
      </w:r>
    </w:p>
    <w:p w14:paraId="3AD09A5C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10</w:t>
      </w:r>
      <w:r>
        <w:rPr>
          <w:rFonts w:ascii="楷体" w:hAnsi="楷体" w:eastAsia="楷体" w:cs="楷体"/>
          <w:color w:val="auto"/>
        </w:rPr>
        <w:t>月中旬，拉萨市（</w:t>
      </w:r>
      <w:r>
        <w:rPr>
          <w:rFonts w:ascii="Times New Roman" w:hAnsi="Times New Roman" w:eastAsia="Times New Roman" w:cs="Times New Roman"/>
          <w:color w:val="auto"/>
        </w:rPr>
        <w:t>29</w:t>
      </w:r>
      <w:r>
        <w:rPr>
          <w:rFonts w:ascii="楷体" w:hAnsi="楷体" w:eastAsia="楷体" w:cs="楷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N</w:t>
      </w:r>
      <w:r>
        <w:rPr>
          <w:rFonts w:ascii="楷体" w:hAnsi="楷体" w:eastAsia="楷体" w:cs="楷体"/>
          <w:color w:val="auto"/>
        </w:rPr>
        <w:t>，</w:t>
      </w:r>
      <w:r>
        <w:rPr>
          <w:rFonts w:ascii="Times New Roman" w:hAnsi="Times New Roman" w:eastAsia="Times New Roman" w:cs="Times New Roman"/>
          <w:color w:val="auto"/>
        </w:rPr>
        <w:t>91</w:t>
      </w:r>
      <w:r>
        <w:rPr>
          <w:rFonts w:ascii="楷体" w:hAnsi="楷体" w:eastAsia="楷体" w:cs="楷体"/>
          <w:color w:val="auto"/>
        </w:rPr>
        <w:t>°</w:t>
      </w:r>
      <w:r>
        <w:rPr>
          <w:rFonts w:ascii="Times New Roman" w:hAnsi="Times New Roman" w:eastAsia="Times New Roman" w:cs="Times New Roman"/>
          <w:color w:val="auto"/>
        </w:rPr>
        <w:t>E</w:t>
      </w:r>
      <w:r>
        <w:rPr>
          <w:rFonts w:ascii="楷体" w:hAnsi="楷体" w:eastAsia="楷体" w:cs="楷体"/>
          <w:color w:val="auto"/>
        </w:rPr>
        <w:t>）某中学学生开展校园地理实践活动，下图为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北京时间</w:t>
      </w:r>
      <w:r>
        <w:rPr>
          <w:rFonts w:ascii="Times New Roman" w:hAnsi="Times New Roman" w:eastAsia="Times New Roman" w:cs="Times New Roman"/>
          <w:color w:val="auto"/>
        </w:rPr>
        <w:t>13</w:t>
      </w:r>
      <w:r>
        <w:rPr>
          <w:rFonts w:ascii="楷体" w:hAnsi="楷体" w:eastAsia="楷体" w:cs="楷体"/>
          <w:color w:val="auto"/>
        </w:rPr>
        <w:t>时</w:t>
      </w:r>
      <w:r>
        <w:rPr>
          <w:rFonts w:ascii="Times New Roman" w:hAnsi="Times New Roman" w:eastAsia="Times New Roman" w:cs="Times New Roman"/>
          <w:color w:val="auto"/>
        </w:rPr>
        <w:t>56</w:t>
      </w:r>
      <w:r>
        <w:rPr>
          <w:rFonts w:ascii="楷体" w:hAnsi="楷体" w:eastAsia="楷体" w:cs="楷体"/>
          <w:color w:val="auto"/>
        </w:rPr>
        <w:t>分拍摄的校园照片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，完成下面小题。</w:t>
      </w:r>
    </w:p>
    <w:p w14:paraId="7E897875">
      <w:pPr>
        <w:spacing w:line="360" w:lineRule="auto"/>
        <w:jc w:val="left"/>
      </w:pPr>
      <w:r>
        <w:drawing>
          <wp:inline distT="0" distB="0" distL="114300" distR="114300">
            <wp:extent cx="2362200" cy="22574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3CBF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图中杆影指向最接近（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39AF8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正北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正南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东北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西北</w:t>
      </w:r>
    </w:p>
    <w:p w14:paraId="24873C70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在观测杆影活动中，学生可领悟到与地球运动相关的是学校的（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51E3288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课程设置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位置选择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空间规模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作息时间</w:t>
      </w:r>
    </w:p>
    <w:p w14:paraId="4FEE109C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在观察植被过程中，学生发现校园植被比周边山地好，主要是因为（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345F9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土壤肥力的提高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局地气候的改善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灌溉用水的保障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局部地形的改变</w:t>
      </w:r>
    </w:p>
    <w:p w14:paraId="26F91AA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加拿大最东端的斯比尔角被称为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加拿大东极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，是圣约翰斯市热门旅游景点，下图为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圣约翰斯市旅游简图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。完成下面小题。</w:t>
      </w:r>
    </w:p>
    <w:p w14:paraId="2E646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8478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76E8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该图的指向标为（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C3A3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1066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0FC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D</w:t>
      </w:r>
    </w:p>
    <w:p w14:paraId="221ECD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该图采用的指向方式，能够（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AAB1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满足显示城市范围需要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便于确定景点相对位置</w:t>
      </w:r>
    </w:p>
    <w:p w14:paraId="2B6CC9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增加测量距离的准确性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提高交通线路的可读性</w:t>
      </w:r>
    </w:p>
    <w:p w14:paraId="1A4B8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该类地图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设计方式常见于（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3780E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房产区位图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世界航海图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国家政区图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气象预报图</w:t>
      </w:r>
    </w:p>
    <w:p w14:paraId="7A2D309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由于植物适应荒漠环境的方式不同，共根系差别很大，下图为“荒漠土壤剖面及植物根系示意图”，完成下面小题。</w:t>
      </w:r>
    </w:p>
    <w:p w14:paraId="7D3378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81250" cy="20859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714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在图示荒漠土壤中，可溶性盐积聚的过程是（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5F9B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生物作用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淀积作用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风积作用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溶蚀作用</w:t>
      </w:r>
    </w:p>
    <w:p w14:paraId="3A4F4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根系较小的肉质植物，不同于其他荒漠植物适应环境的方式是（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BA95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营养器官储水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枝叶演化成刺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干旱季节休眠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叶片具蜡质层</w:t>
      </w:r>
    </w:p>
    <w:p w14:paraId="55461C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与阿拉伯半岛的荒漠植物相比，我国塔里木盆地的荒漠植物更（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783880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耐盐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耐旱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耐寒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耐热</w:t>
      </w:r>
    </w:p>
    <w:p w14:paraId="4EE23E0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下图为某地地质剖面图，据此完成下面小题。</w:t>
      </w:r>
    </w:p>
    <w:p w14:paraId="6A41D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19812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DE38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推测该地最新的地质事件是（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BD995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岩层褶皱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地壳沉降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岩层断裂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岩浆侵入</w:t>
      </w:r>
    </w:p>
    <w:p w14:paraId="4A1F8D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图中背斜顶部容易被侵蚀的证据是其顶部（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83223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更老地层曾出露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存在断层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存在岩浆的侵入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岩性差异</w:t>
      </w:r>
    </w:p>
    <w:p w14:paraId="27249AB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粮食安全是我国国家安全的重要组成部分、耕地资源是粮食安全的基础。近年来我国耕地面积发生了变化，并呈现出区域差异。下图为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楷体" w:hAnsi="楷体" w:eastAsia="楷体" w:cs="楷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楷体" w:hAnsi="楷体" w:eastAsia="楷体" w:cs="楷体"/>
          <w:color w:val="000000"/>
        </w:rPr>
        <w:t>年我国省级行政区耕地面积变化图。据此完成下面小题。</w:t>
      </w:r>
    </w:p>
    <w:p w14:paraId="524C44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62325" cy="24765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600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宋体" w:hAnsi="宋体" w:eastAsia="宋体" w:cs="宋体"/>
          <w:color w:val="000000"/>
        </w:rPr>
        <w:t>年我国省级行政区耕地面积的增加与减少，呈现明显的区域差异格局，大致的划分界线是（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8765E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110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经线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rPr>
          <w:rFonts w:ascii="宋体" w:hAnsi="宋体" w:eastAsia="宋体" w:cs="宋体"/>
          <w:color w:val="000000"/>
        </w:rPr>
        <w:t>°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纬线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胡焕庸线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秦岭—淮河一线</w:t>
      </w:r>
    </w:p>
    <w:p w14:paraId="2A736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2009</w:t>
      </w:r>
      <w:r>
        <w:rPr>
          <w:rFonts w:ascii="宋体" w:hAnsi="宋体" w:eastAsia="宋体" w:cs="宋体"/>
          <w:color w:val="000000"/>
        </w:rPr>
        <w:t>—</w:t>
      </w:r>
      <w:r>
        <w:rPr>
          <w:rFonts w:ascii="Times New Roman" w:hAnsi="Times New Roman" w:eastAsia="Times New Roman" w:cs="Times New Roman"/>
          <w:color w:val="000000"/>
        </w:rPr>
        <w:t>2019</w:t>
      </w:r>
      <w:r>
        <w:rPr>
          <w:rFonts w:ascii="宋体" w:hAnsi="宋体" w:eastAsia="宋体" w:cs="宋体"/>
          <w:color w:val="000000"/>
        </w:rPr>
        <w:t>年我国部分省级行政区耕地增加，其主要驱动力是（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9EF69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作物品种改良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人口数量增多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具有规模效益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交通区位改善</w:t>
      </w:r>
    </w:p>
    <w:p w14:paraId="49FF48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为保障我国粮食安全和生态安全，符合因地施策的是（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085BE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东南地区严格保护耕地，复垦城镇建设用地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西北地区积极开采地下水，增加可灌溉面积</w:t>
      </w:r>
    </w:p>
    <w:p w14:paraId="391207E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东北地区加大湿地开发力度、增加耕地供给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西南地区鼓励撂荒地复垦，遏制耕地非粮化</w:t>
      </w:r>
    </w:p>
    <w:p w14:paraId="56CD29D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亚洲中部高大山脉周边分布着许多国家的首都。下图为亚洲局部地区卫星影像图，据此完成下面小题。</w:t>
      </w:r>
    </w:p>
    <w:p w14:paraId="49A04C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25622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1F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图中城市发展初期选址在山麓地带，考虑的首要条件是（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14860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充足的光热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稳定的水源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丰富的矿产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肥沃的土壤</w:t>
      </w:r>
    </w:p>
    <w:p w14:paraId="5EAB1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图中城市依托地形地势发展成为国家政治中心，主要考虑（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7A56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安全防御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城市历史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农业条件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人口数量</w:t>
      </w:r>
    </w:p>
    <w:p w14:paraId="5496643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老年人口抚养比是指一个地区老年人口数与劳动年龄人口数的比值。下图为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年我国部分省级行政区老年人口抚养比与人均收入的关系图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。完成下面小题。</w:t>
      </w:r>
    </w:p>
    <w:p w14:paraId="47FCEC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67000" cy="1924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B2C8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图中表示江苏的是（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ECE4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</w:t>
      </w:r>
    </w:p>
    <w:p w14:paraId="306B66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我国人均收入高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地区老年人口抚养比差异明显，其主要影响因素是（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A750D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医疗卫生条件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人口迁移量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人口预期寿命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人口出生率</w:t>
      </w:r>
    </w:p>
    <w:p w14:paraId="278FBEF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东南亚农业种植结构受多种因素影响，不同历史时期发生了多次变化，下表为“东南亚不同历史时期种植的主要农作物”。完成下面小题。</w:t>
      </w:r>
    </w:p>
    <w:tbl>
      <w:tblPr>
        <w:tblStyle w:val="4"/>
        <w:tblW w:w="793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45"/>
        <w:gridCol w:w="5790"/>
      </w:tblGrid>
      <w:tr w14:paraId="3D738E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0E20E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历史时期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33EF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主要农作物</w:t>
            </w:r>
          </w:p>
        </w:tc>
      </w:tr>
      <w:tr w14:paraId="369E3A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3CA2B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楷体" w:hAnsi="楷体" w:eastAsia="楷体" w:cs="楷体"/>
                <w:color w:val="000000"/>
              </w:rPr>
              <w:t>世纪以前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88F2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水稻和甘蔗</w:t>
            </w:r>
          </w:p>
        </w:tc>
      </w:tr>
      <w:tr w14:paraId="298175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0D691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楷体" w:hAnsi="楷体" w:eastAsia="楷体" w:cs="楷体"/>
                <w:color w:val="000000"/>
              </w:rPr>
              <w:t>世纪至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世纪初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B054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丁香、胡椒、烟竿、咖啡、水稻、甘蔗等</w:t>
            </w:r>
          </w:p>
        </w:tc>
      </w:tr>
      <w:tr w14:paraId="5A4B0B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4FCE9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世纪中叶至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楷体" w:hAnsi="楷体" w:eastAsia="楷体" w:cs="楷体"/>
                <w:color w:val="000000"/>
              </w:rPr>
              <w:t>世纪初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D3FDA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橡胶、油棕、咖啡、水稻、甘蔗等</w:t>
            </w:r>
          </w:p>
        </w:tc>
      </w:tr>
      <w:tr w14:paraId="30670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E10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楷体" w:hAnsi="楷体" w:eastAsia="楷体" w:cs="楷体"/>
                <w:color w:val="000000"/>
              </w:rPr>
              <w:t>世纪中叶以后</w:t>
            </w:r>
          </w:p>
        </w:tc>
        <w:tc>
          <w:tcPr>
            <w:tcW w:w="57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7F455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橡胶、油棕、蕉麻、可可、咖啡、水稻、甘蔗等</w:t>
            </w:r>
          </w:p>
        </w:tc>
      </w:tr>
    </w:tbl>
    <w:p w14:paraId="490C5E3F">
      <w:pPr>
        <w:spacing w:line="360" w:lineRule="auto"/>
        <w:jc w:val="left"/>
        <w:textAlignment w:val="center"/>
        <w:rPr>
          <w:color w:val="000000"/>
        </w:rPr>
      </w:pPr>
    </w:p>
    <w:p w14:paraId="04A70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世纪，东南亚农业种植结构的转变，是因为（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19F8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土地支配权的变化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国家间的互惠贸易</w:t>
      </w:r>
    </w:p>
    <w:p w14:paraId="69CD078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本地消费市场扩大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劳动生产效率提高</w:t>
      </w:r>
    </w:p>
    <w:p w14:paraId="7CD443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世纪中叶，东南亚农业种植结构再次发生变化，与其直接相关的产业是（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BF3449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纺织加工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钢铁冶炼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汽车制造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煤炭开采</w:t>
      </w:r>
    </w:p>
    <w:p w14:paraId="1F2F77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近几十年，东南亚油棕种植面积扩大，能够解释该现象的概念是（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B9A05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国际贸易区域化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区域环境差异化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农业生产机械化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全球经济一体化</w:t>
      </w:r>
    </w:p>
    <w:p w14:paraId="29A7D50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乡村聚落的选址与人们的生产生活紧密相关，下图为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我国西北某地乡村聚落四种模式图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，完成下面小题。</w:t>
      </w:r>
    </w:p>
    <w:p w14:paraId="1B8F48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30492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419350" cy="13049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41C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四种模式中，农业活动空间范围最大的是（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CEF7A4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796E3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提炼四种模式的主要依据是（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77EF6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作物品种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河流分布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土地利用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村庄规模</w:t>
      </w:r>
    </w:p>
    <w:p w14:paraId="3C870926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54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117105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65A288C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材料一:济州岛位于朝鲜半岛以南</w:t>
      </w:r>
      <w:r>
        <w:rPr>
          <w:rFonts w:ascii="Times New Roman" w:hAnsi="Times New Roman" w:eastAsia="Times New Roman" w:cs="Times New Roman"/>
          <w:color w:val="000000"/>
        </w:rPr>
        <w:t>82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8km</w:t>
      </w:r>
      <w:r>
        <w:rPr>
          <w:rFonts w:ascii="楷体" w:hAnsi="楷体" w:eastAsia="楷体" w:cs="楷体"/>
          <w:color w:val="000000"/>
        </w:rPr>
        <w:t>，纬度位置与我国秦岭—淮河一线相近，最高峰汉拿山海拔</w:t>
      </w:r>
      <w:r>
        <w:rPr>
          <w:rFonts w:ascii="Times New Roman" w:hAnsi="Times New Roman" w:eastAsia="Times New Roman" w:cs="Times New Roman"/>
          <w:color w:val="000000"/>
        </w:rPr>
        <w:t>1950m</w:t>
      </w:r>
      <w:r>
        <w:rPr>
          <w:rFonts w:ascii="楷体" w:hAnsi="楷体" w:eastAsia="楷体" w:cs="楷体"/>
          <w:color w:val="000000"/>
        </w:rPr>
        <w:t>，该岛最低月均温为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℃，出现在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月，最高月均温为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楷体" w:hAnsi="楷体" w:eastAsia="楷体" w:cs="楷体"/>
          <w:color w:val="000000"/>
        </w:rPr>
        <w:t>.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℃，出现在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月。</w:t>
      </w:r>
    </w:p>
    <w:p w14:paraId="0212671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材料二:图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为“济州岛位置及周边洋流分布示意图”，图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为“济州岛地形及年降水量分布图”。</w:t>
      </w:r>
    </w:p>
    <w:p w14:paraId="6661E6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26479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B5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描述济州岛的年降水量空间分布特征。</w:t>
      </w:r>
    </w:p>
    <w:p w14:paraId="39C7A3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写出济州岛年降水量空间分布格局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640226490" name="图片 1640226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226490" name="图片 164022649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影响因素。</w:t>
      </w:r>
    </w:p>
    <w:p w14:paraId="6E9B79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分析暖流对济州岛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月气温的影响，并写出参照依据。</w:t>
      </w:r>
    </w:p>
    <w:p w14:paraId="23F18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济州岛最低月均温和最高月均温分别出现在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月和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月，与北半球大陆和海洋并不完全相同，请解释其原因。</w:t>
      </w:r>
    </w:p>
    <w:p w14:paraId="15EE49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668B01F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在国务院批复的《江苏省国土空间规划（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-</w:t>
      </w:r>
      <w:r>
        <w:rPr>
          <w:rFonts w:ascii="Times New Roman" w:hAnsi="Times New Roman" w:eastAsia="Times New Roman" w:cs="Times New Roman"/>
          <w:color w:val="000000"/>
        </w:rPr>
        <w:t>2035</w:t>
      </w:r>
      <w:r>
        <w:rPr>
          <w:rFonts w:ascii="楷体" w:hAnsi="楷体" w:eastAsia="楷体" w:cs="楷体"/>
          <w:color w:val="000000"/>
        </w:rPr>
        <w:t>年）》中，提出南京都市圈、苏锡常都市圈和淮海经济区（简称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）建设，推动全省高质量发展。</w:t>
      </w:r>
    </w:p>
    <w:p w14:paraId="3C87FC7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下表为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两圈一区的经济社会发展情况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两圈一区建设规划简图</w:t>
      </w:r>
      <w:r>
        <w:rPr>
          <w:rFonts w:ascii="宋体" w:hAnsi="宋体" w:eastAsia="宋体" w:cs="宋体"/>
          <w:color w:val="000000"/>
        </w:rPr>
        <w:t>”</w:t>
      </w:r>
    </w:p>
    <w:tbl>
      <w:tblPr>
        <w:tblStyle w:val="4"/>
        <w:tblW w:w="79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80"/>
        <w:gridCol w:w="1980"/>
        <w:gridCol w:w="1980"/>
        <w:gridCol w:w="1980"/>
      </w:tblGrid>
      <w:tr w14:paraId="1C4E83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69A9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名称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CCF0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中心城市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BD1A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中心城市的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GDP</w:t>
            </w:r>
            <w:r>
              <w:rPr>
                <w:rFonts w:ascii="楷体" w:hAnsi="楷体" w:eastAsia="楷体" w:cs="楷体"/>
                <w:color w:val="000000"/>
              </w:rPr>
              <w:t>占比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37F9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城镇化水平</w:t>
            </w:r>
          </w:p>
        </w:tc>
      </w:tr>
      <w:tr w14:paraId="30CA3A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6321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南京都市圈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1C1A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南京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6D05B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BF4C8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73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  <w:tr w14:paraId="628FC4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2B3E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苏锡常都市圈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717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苏州、无锡、常州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4F7B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88394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82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  <w:tr w14:paraId="190BA5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43F0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淮海经济区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32EA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徐州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EA019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  <w:tc>
          <w:tcPr>
            <w:tcW w:w="198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62F5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  <w:r>
              <w:rPr>
                <w:rFonts w:ascii="楷体" w:hAnsi="楷体" w:eastAsia="楷体" w:cs="楷体"/>
                <w:color w:val="000000"/>
              </w:rPr>
              <w:t>%</w:t>
            </w:r>
          </w:p>
        </w:tc>
      </w:tr>
    </w:tbl>
    <w:p w14:paraId="024BE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81300" cy="24003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887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依据材料，写出两圈一区各自最突出的区位优势。</w:t>
      </w:r>
    </w:p>
    <w:p w14:paraId="301937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南京都市圈：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；苏锡常都市圈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；淮海经济区：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E9072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依据南京都市圏和苏锡常都市圈的名称差异概括各自的空间结构，并简述淮海经济区的空间特点。</w:t>
      </w:r>
    </w:p>
    <w:p w14:paraId="411A56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共建卓越的全球城市区域，两圈一区发展可采取的主要措施有：①提升中心城市能级；②打破行政区划壁垒；③提高省会城市首位度；④推动城市间深度融合；⑤提高区域城镇化水平；⑥避免城市间同质化竞争。请根据两圈一区的发展情况，选择各自优先采取的措施（填写上述主要措施对应的序号、每个序号限填一次，每空限填一个）。</w:t>
      </w:r>
    </w:p>
    <w:p w14:paraId="31ED79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南京都市圈：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3AFB8C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苏锡常都市圈：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</w:t>
      </w:r>
    </w:p>
    <w:p w14:paraId="159976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淮海经济区：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、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FB69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阅读材料，回答下列问题。</w:t>
      </w:r>
    </w:p>
    <w:p w14:paraId="12D6480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我国的大兴安岭与新西兰的南阿尔卑斯山，走向相似，均位于中纬度地区，下图为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大兴安冷和南阿尔卑斯山的位置及地形示意图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。</w:t>
      </w:r>
    </w:p>
    <w:p w14:paraId="48B97BD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楷体" w:hAnsi="楷体" w:eastAsia="楷体" w:cs="楷体"/>
          <w:color w:val="000000"/>
        </w:rPr>
        <w:t>两列山脉东倒均为重要的农业区，农产品商品率都较高，但面向的市场不同。新西兰畜牧业发达，是著名乳畜产品生产国，粮食自给率约</w:t>
      </w:r>
      <w:r>
        <w:rPr>
          <w:rFonts w:ascii="Times New Roman" w:hAnsi="Times New Roman" w:eastAsia="Times New Roman" w:cs="Times New Roman"/>
          <w:color w:val="000000"/>
        </w:rPr>
        <w:t>60</w:t>
      </w:r>
      <w:r>
        <w:rPr>
          <w:rFonts w:ascii="楷体" w:hAnsi="楷体" w:eastAsia="楷体" w:cs="楷体"/>
          <w:color w:val="000000"/>
        </w:rPr>
        <w:t>%。</w:t>
      </w:r>
    </w:p>
    <w:p w14:paraId="629276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95775" cy="1952625"/>
            <wp:effectExtent l="0" t="0" r="9525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D7D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简述两列山脉东侧地区的气候特征对当地农业活动的不同影响。</w:t>
      </w:r>
    </w:p>
    <w:p w14:paraId="4BFC8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两列山脉东侧地区农产品商品率都较高，分析其形成条件的异同。</w:t>
      </w:r>
    </w:p>
    <w:p w14:paraId="010F96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相同点：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；不同点：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718D0F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针对新西兰粮食的自给现状，有两种观点：</w:t>
      </w:r>
    </w:p>
    <w:p w14:paraId="3975F2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观点一认为，在经济全球化背景下，继续通过进口粮食以满足国内需求；</w:t>
      </w:r>
    </w:p>
    <w:p w14:paraId="761884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观点二认为，为保障粮食安全，扩大本国粮食生产以满足国内需求。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59C63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wmf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672</Words>
  <Characters>731</Characters>
  <TotalTime>0</TotalTime>
  <ScaleCrop>false</ScaleCrop>
  <LinksUpToDate>false</LinksUpToDate>
  <CharactersWithSpaces>833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2025-06-17T02:11:01Z</dcterms:created>
  <dc:creator>何京应</dc:creator>
  <cp:lastModifiedBy>何京应</cp:lastModifiedBy>
  <dcterms:modified xsi:type="dcterms:W3CDTF">2025-06-17T02:11:07Z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0F9935A6D67146C68E1FA601EBDDD220_12</vt:lpwstr>
  </property>
</Properties>
</file>